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A2" w:rsidRDefault="00A565A2" w:rsidP="00A565A2">
      <w:pPr>
        <w:jc w:val="both"/>
        <w:rPr>
          <w:sz w:val="28"/>
          <w:szCs w:val="28"/>
        </w:rPr>
      </w:pPr>
      <w:r>
        <w:rPr>
          <w:sz w:val="28"/>
          <w:szCs w:val="28"/>
        </w:rPr>
        <w:t>Л. 10. Технологическая политика Китая.</w:t>
      </w:r>
    </w:p>
    <w:p w:rsidR="00A565A2" w:rsidRDefault="00A565A2" w:rsidP="00A565A2">
      <w:pPr>
        <w:jc w:val="both"/>
        <w:rPr>
          <w:sz w:val="28"/>
          <w:szCs w:val="28"/>
        </w:rPr>
      </w:pPr>
    </w:p>
    <w:p w:rsidR="00A565A2" w:rsidRDefault="00A565A2" w:rsidP="00A565A2">
      <w:pPr>
        <w:jc w:val="both"/>
      </w:pPr>
      <w:r>
        <w:t xml:space="preserve">  В Китае на рубеже ХIX – XX вв., страна не вырастила пока ни одного нобелевского учёного, если не учитывать писателей и физиков, построивших всю свою научную карьеру на Западе. Тем не менее китайское государство уделяет достаточно серьёзное внимание развитию научно-технической сферы, особенно в последние годы. В своих речах председатель КНР Си </w:t>
      </w:r>
      <w:proofErr w:type="spellStart"/>
      <w:r>
        <w:t>Цзиньпин</w:t>
      </w:r>
      <w:proofErr w:type="spellEnd"/>
      <w:r>
        <w:t xml:space="preserve"> неизменно подчёркивает важность науки для страны. Выступая перед китайскими учёными в мае 2016 г., он указывал, что только «с расцветом науки возможен расцвет народа» и только с «сильной наукой возможно сильное государство».</w:t>
      </w:r>
    </w:p>
    <w:p w:rsidR="00A565A2" w:rsidRDefault="00A565A2" w:rsidP="00A565A2">
      <w:pPr>
        <w:jc w:val="both"/>
      </w:pPr>
      <w:r>
        <w:t xml:space="preserve">В Китае государство играет важнейшую роль в ключевых общественных процессах. Наука – не исключение. В последнем пятилетнем плане развития фундаментальной науки страны особо подчёркивается «свобода научного поиска», но этот поиск должен быть совмещён с конкретными целями [31], которые, безусловно, устанавливает государство. Китай стал абсолютным лидером по количеству исследователей в сфере научных исследований и разработок. С 2000 г. их число (без технического и вспомогательного персонала) выросло более чем в два раза до 1643 тыс. человек в 2015 г. Китайские университеты уверенно вошли в список лучших в мире. Если ещё в 2005 г. в Академический рейтинг университетов мира (включает 500 лучших университетов мира по академическим достижениям) входило всего 8 китайских университетов, то в 2017 г. их число увеличилось до 45, уступая лишь безусловному лидеру США [7]. В этом же рейтинге Россия представлена тремя университетами. Китайская академия наук неизменно лидирует в рейтинге </w:t>
      </w:r>
      <w:proofErr w:type="spellStart"/>
      <w:r>
        <w:t>Science</w:t>
      </w:r>
      <w:proofErr w:type="spellEnd"/>
      <w:r>
        <w:t xml:space="preserve"> [14], который отражает публикационную активность организаций в 68 ведущих журналах по ключевым областям науки. В 2016 г. Российская академия наук в этом рейтинге занимала лишь 41-е место.</w:t>
      </w:r>
    </w:p>
    <w:p w:rsidR="00A565A2" w:rsidRDefault="00A565A2" w:rsidP="00A565A2">
      <w:pPr>
        <w:jc w:val="both"/>
      </w:pPr>
      <w:r>
        <w:t>В 2005 г. китайские граждане участвовали в производстве 5,3% всех публикаций в журналах SCI (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индексирует журналы, входящие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), то в 2014 г. доля увеличилась почти до 15%, а абсолютное значение статей составило более 260 тыс. за год [46, с. 195]. По этому показателю Китай уверенно занимает второе место после США. В 2016 г., по данным, опубликованным в журнале </w:t>
      </w:r>
      <w:proofErr w:type="spellStart"/>
      <w:r>
        <w:t>Nature</w:t>
      </w:r>
      <w:proofErr w:type="spellEnd"/>
      <w:r>
        <w:t xml:space="preserve">, Китай впервые опередил США по количеству статей, опубликованных в базе </w:t>
      </w:r>
      <w:proofErr w:type="spellStart"/>
      <w:r>
        <w:t>Scopus</w:t>
      </w:r>
      <w:proofErr w:type="spellEnd"/>
      <w:r>
        <w:t xml:space="preserve"> [25]. В последние годы на учёных вузов или НИИ КНР приходилось 15–20% </w:t>
      </w:r>
      <w:proofErr w:type="gramStart"/>
      <w:r>
        <w:t>всех статей</w:t>
      </w:r>
      <w:proofErr w:type="gramEnd"/>
      <w:r>
        <w:t xml:space="preserve"> опубликованных в базах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</w:t>
      </w:r>
      <w:proofErr w:type="spellStart"/>
      <w:r>
        <w:t>Scopus</w:t>
      </w:r>
      <w:proofErr w:type="spellEnd"/>
      <w:r>
        <w:t xml:space="preserve">. Высокие показатели достигаются в том числе и активным международным сотрудничеством [16]: в 2016 г. каждая пятая статья китайских учёных была опубликована в международном соавторстве. Научно-техническая политика и реформа в КНР. </w:t>
      </w:r>
    </w:p>
    <w:p w:rsidR="00A565A2" w:rsidRDefault="00A565A2" w:rsidP="00A565A2">
      <w:pPr>
        <w:jc w:val="both"/>
      </w:pPr>
      <w:r>
        <w:t xml:space="preserve">                                              Научно-техническая политика и реформа в КНР</w:t>
      </w:r>
    </w:p>
    <w:p w:rsidR="00A565A2" w:rsidRDefault="00A565A2" w:rsidP="00A565A2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а) Государственное финансирование науки Отличительной особенностью развития и реформ китайской науки в последнее десятилетие было постоянное повышение абсолютных и относительных расходов на НИР. С 2005 по 2015 г. доля расходов на исследования и разработки в ВВП КНР выросла с 0,9 до 2,1. </w:t>
      </w:r>
      <w:r>
        <w:rPr>
          <w:rFonts w:ascii="Arial" w:hAnsi="Arial" w:cs="Arial"/>
          <w:color w:val="000000"/>
          <w:sz w:val="23"/>
          <w:szCs w:val="23"/>
        </w:rPr>
        <w:t xml:space="preserve">По данным ЮНЕСКО, в последние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Китай тратит на одного учёного (точнее - на одну ставку исследователя) столько же, сколько и развитые страны. В 2015 г. такие затраты составляли 253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тыс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долл. США (по паритету покупательской способности), в 2,8 раз больше, чем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России .</w:t>
      </w:r>
      <w:proofErr w:type="gramEnd"/>
    </w:p>
    <w:p w:rsidR="00A565A2" w:rsidRDefault="00A565A2" w:rsidP="00A565A2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Основные вложения в научно-исследовательскую и инновационную деятельность в Китае осуществляют предприятия. Эта особенность сформировалась ещё до середины 90-х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г..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(когда появились соответствующие статистические данные) и усилилась в последнее десятилетие. В 2016 г. на НИР предприятий приходилось 77,5% всех затрат на науку и инновации в стране. Китайское государство также неизменно повышает свои расходы на науку. В 2015 г. в номинальных значениях траты всех уровней госорганов на НИР составили 87,1 млрд. долларов США, заняв второе место в мире по вложениям в науку и составив 72%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от расходов мирового лидера в государственных расходах, США. Прежде всего, стоит отметить, что высокие показатели государственных вливаний в науку являются следствием двух причин. Во-первых, в КНР с начала 1980-х гг. доходы бюджета росли намного быстрее экономики и благосостояния населения. С 2005 г. по 2017 г. средний прирост составлял более 16% ежегодно. Во-вторых, китайский бюджет пока не перегружен социальными и военно-политическими обязательствами, и вплоть до сегодняшних дней расходы на образование, науку, культуру и экономику являются самими большими статьями расходов государства. Для сравнения: в России в 2017 г. на национальную оборону, безопасность и социальные обязательства было затрачено около 59,5% федерального бюджета [3]; в 2016 г. в Китае на эти же цели - менее 23%. Большинство расходов Китая на науку приходится на её экспериментальную и прикладную составляющие, которые финансируются частными и государственными предприятиями. Фундаментальную науку полностью поддерживало государство. В 2016-2017 г. на долю фундаментальных исследований приходилось около 25% всех расходов центрального правительства на науку.</w:t>
      </w:r>
    </w:p>
    <w:p w:rsidR="00A565A2" w:rsidRDefault="00A565A2" w:rsidP="00A565A2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A565A2" w:rsidRDefault="00A565A2" w:rsidP="00A565A2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б) Управление наукой и реформы</w:t>
      </w:r>
    </w:p>
    <w:p w:rsidR="00A565A2" w:rsidRDefault="00A565A2" w:rsidP="00A565A2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A565A2" w:rsidRPr="00F52E60" w:rsidRDefault="00A565A2" w:rsidP="00A565A2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2E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Китае принципы научной политики формулируются Госсоветом КНР и Центральным комитетом Коммунистической партии Китая (ЦК КПК). В 1998 г. в рамках Госсовета была создана малая руководящая группа по вопросам науки, техники и образования, которая была призвана «...обеспечить руководство наукой и образованием на макроуровне, регулирование ключевых вопросов в сфере науки и техники, реализацию стратегии развития государства с помощью науки и техники, проведение структурных реформ в области образования и науки...» [33, с. 651]. Эта межведомственная структура занимается выработкой единого курса по стратегическим вопросам развития науки, техники и образования и собирается несколько раз в год (обычно два раза в год).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2E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Ключевым исполнительным органом, а также ведомством, которое вырабатывает конкретные законодательные акты, является Министерство науки и техники (МНТ).</w:t>
      </w:r>
    </w:p>
    <w:p w:rsidR="00A565A2" w:rsidRPr="00F52E60" w:rsidRDefault="00A565A2" w:rsidP="00A565A2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последнее десятилетие сложился устойчивый треугольник ведомств, реализующий научный курс государства: МНТ, Государственная комиссия по развитию и реформам КНР и Министерство финансов [17, с. 929]. Включение Минфина в процесс реализации научной политики гарантирует бесперебойное финансирование НИР. Участие Государственной комиссии по развитию и реформам КНР (на это ведомство фактически замыкаются ключевые реформы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госпланирование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стране) также говорит о важности научной политики для государства, а также о желании правительства усилить прикладную составляющую науки. </w:t>
      </w:r>
      <w:r w:rsidRPr="00F52E60">
        <w:rPr>
          <w:rFonts w:ascii="Arial" w:hAnsi="Arial" w:cs="Arial"/>
          <w:color w:val="000000"/>
          <w:sz w:val="23"/>
          <w:szCs w:val="23"/>
        </w:rPr>
        <w:t>Одновременно нельзя говорить о том, что система управления наукой сильно централизована. Показателен случай составления Государственной программы долгосрочного и среднесрочного развития науки и техники (2006-2020). Подготовленная МНТ, она проходила детальное обсуждение во всех ключевых научных организациях страны, и её принятие было отодвинуто на полгода от запланированной даты для выработки окончательного варианта [22, с. 150].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 w:rsidRPr="00F52E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середины 2000-х гг. наука в КНР развивается на основе трёх ключевых документов (не включая традиционных пятилетних планов), принятых совместно Центральным комитетом Коммунистической партии Китая и Госсоветом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В 2006 г. ЦК КПК и Госсоветом КНР был принят самый важный документ последнего десятилетия в области науки и техники - Государственная программа долгосрочного и среднесрочного развития науки и техники на 2006-2020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 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(далее - Программа) [32]. В ней были обозначены пять ключевых задач, которые стоят перед китайской наукой до 2020 г.: (1) решение проблем энергетической, водной и экологической безопасности; (2) перевооружение промышленности посредством </w:t>
      </w:r>
      <w:r>
        <w:rPr>
          <w:rFonts w:ascii="Arial" w:hAnsi="Arial" w:cs="Arial"/>
          <w:color w:val="000000"/>
          <w:sz w:val="23"/>
          <w:szCs w:val="23"/>
        </w:rPr>
        <w:lastRenderedPageBreak/>
        <w:t>передовых информационных технологий и технологий в области новых материалов; (3) развитие сельского хозяйства и промышленности с помощью биотехнологий; (4) ускоренное развитие морских и космических технологий, (5) укрепление фундаментальных и передовых исследований.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Программа задала следующие направления реформы научно-исследовательской системы страны на последующие десять лет:</w:t>
      </w:r>
    </w:p>
    <w:p w:rsidR="00A565A2" w:rsidRPr="00CE54AA" w:rsidRDefault="00A565A2" w:rsidP="00A565A2">
      <w:pPr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Превращение предприятий в главный объект инноваций в стране. В Программе чётко обозначалось, что государство будет заниматься в основном финансированием фундаментальных исследований, развитием передовых технологий и исследований, представляющих общественную значимость. Все остальные виды НИР должен был взять на себя крупный государственный и различные виды частного бизнеса. </w:t>
      </w:r>
      <w:r w:rsidRPr="005854A4">
        <w:rPr>
          <w:rFonts w:ascii="Arial" w:hAnsi="Arial" w:cs="Arial"/>
          <w:color w:val="000000"/>
          <w:sz w:val="23"/>
          <w:szCs w:val="23"/>
        </w:rPr>
        <w:t> В Некоторых предложениях ЦК КПК и Госсовета по углублению структурной реформы для ускоренной реализации стратегии инновационного развития (далее - «Некоторые предложения») подчёркивалось стремление правительства создать стандартную льготную налоговую систему для инновационной деятельности, которая затрагивала бы все предприятия и имела безусловный характер [45]. Цель такого шага - превращение предприятий в главную движущую силу инноваций. Соответственно «коммерциализация» и «</w:t>
      </w:r>
      <w:proofErr w:type="spellStart"/>
      <w:r w:rsidRPr="005854A4">
        <w:rPr>
          <w:rFonts w:ascii="Arial" w:hAnsi="Arial" w:cs="Arial"/>
          <w:color w:val="000000"/>
          <w:sz w:val="23"/>
          <w:szCs w:val="23"/>
        </w:rPr>
        <w:t>корпоративизация</w:t>
      </w:r>
      <w:proofErr w:type="spellEnd"/>
      <w:r w:rsidRPr="005854A4">
        <w:rPr>
          <w:rFonts w:ascii="Arial" w:hAnsi="Arial" w:cs="Arial"/>
          <w:color w:val="000000"/>
          <w:sz w:val="23"/>
          <w:szCs w:val="23"/>
        </w:rPr>
        <w:t>» стали главными лозунгами последних документов правительства в области науки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апреле 2020 года Всемирная организация интеллектуальной собственности (со штаб-квартирой в Женеве) огласила, что по итогам 2019 года Китай впервые превзошёл США и стал мировым лидером в международных патентных заявках, а телекоммуникационный гигант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Huawei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Technologies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возглавил список компаний третий год подряд, в прошлом году увеличив инвестиции в НИОКР на 30%. В прошлом компания вложила не менее $18,6 млрд в развитие сетей 5G, став безусловным мировым лидером высокоскоростного интернета в мире. Компаний, вкладывающих столько в развитие высоких технологий, в мире сегодня нет.</w:t>
      </w:r>
    </w:p>
    <w:p w:rsidR="00A565A2" w:rsidRPr="005854A4" w:rsidRDefault="00A565A2" w:rsidP="00A565A2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A565A2" w:rsidRDefault="00A565A2" w:rsidP="00A565A2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54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ускорить коммерциализацию научных знаний потребовала от правительства признать насущную необходимость ужесточения законодательства и правоприменительной практики в области защиты прав интеллектуальной собственности. Если ранее копирование иностранных технологий и фальсификация торговых марок позволили Китаю ускоренно развиваться, то в настоящее время пренебрежение правами интеллектуальной собственности мешает конкуренции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Реформа научных учреждений. Данная задача правительства предполагала устранение монополизма в науке и продвижение проектов, реализуемых совместно несколькими НИИ и вузами.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улучшить кадровую политику, обеспечить достойный уровень зарплаты учёным, повысить трудовую дисциплину и обеспечить чёткую, справедливую премиальную систему.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ускорить слияние научных учреждений с предприятиями.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полностью прекратить практику создания новых предприятий, подведомственных НИИ и вузам. Все внедренческие работы должны сопровождаться лицензированием и сотрудничеством с существующими предприятиями,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создать систему «вращающихся дверей» между НИИ и предприятиями, чтобы научный сотрудник мог на определённых этапах карьеры работать в лабораториях при предприятиях.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5) активно привлекать иностранных учёных.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Структурная реформа системы управления наукой. Данная задача включает в себя создание эффективных координационных механизмов управления наукой и внедрение прозрачной системы оценки научной деятельности 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Китайской академии наук проводится крупнейшая реформа за всю пятидесятилетнюю историю существования организации (основана в 1949 г.). С 2014 г. институты КАН должны развиваться по четырём разным траекториям: центры передовых исследований, инновационные центры прикладных исследований и передачи технологий, крупные научно-исследовательские центры, работающие над выполнением крупных научных задач, и институты, направленные на решение специфичных национальных и региональных задач.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Наибольший прогресс в реформе науки произошёл в сфере высшего образования. Государство начало финансировать научные исследования в вузах только с 1982 г. [40, с. 9], и в 1990-е гг. сделало ставку на опережающее развитие избранных университетов. В 1995 г. было отобрано более 100 университетов («программа 211») для подготовки высококлассных специалистов, а в 1998 г. («программа 985») - 9 ведущих вузов для вхождения в число лучших исследовательских вузов мира.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Одна из наиболее серьёзных проблем поддержки государством отдельных университетов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сверхконцентрация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распределении государственных ресурсов на научные исследования: в 2014 г. чуть более 10% университетов, попавших под различные государственные программы, получили около 70%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госфинансирования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A565A2" w:rsidRDefault="00A565A2" w:rsidP="00A565A2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в) Целевые научные программы </w:t>
      </w:r>
    </w:p>
    <w:p w:rsidR="00A565A2" w:rsidRPr="00FD185E" w:rsidRDefault="00A565A2" w:rsidP="00A565A2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План развития науки на период 2006-2020 гг. предусматривал реализацию шестнадцати </w:t>
      </w:r>
      <w:proofErr w:type="spellStart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мегапроектов</w:t>
      </w:r>
      <w:proofErr w:type="spellEnd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которые должны были максимально вовлечь в сферу инноваций не только государственный, но и частный сектор. С помощью </w:t>
      </w:r>
      <w:proofErr w:type="spellStart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мегапроектов</w:t>
      </w:r>
      <w:proofErr w:type="spellEnd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китайские власти стремились распространить инновационные процессы на экономику, поддерживая их даже в трудные годы после мирового финансового кризиса 2008 г. [4, с. 110-111].</w:t>
      </w:r>
    </w:p>
    <w:p w:rsidR="00A565A2" w:rsidRDefault="00A565A2" w:rsidP="00A565A2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Опора на </w:t>
      </w:r>
      <w:proofErr w:type="spellStart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мегапроекты</w:t>
      </w:r>
      <w:proofErr w:type="spellEnd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предполагала и реализацию крупных целевых программ. К 2014 г. китайское правительство осуществляло около 100 таких программ, объектами которых являлись НИИ, вузы, предприятия или непосредственно учёные. В 2014 г. Госсоветом КНР была запущена реформа, предполагавшая объединение этих программ в пять крупных направлений (</w:t>
      </w:r>
      <w:proofErr w:type="spellStart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мегапрограмм</w:t>
      </w:r>
      <w:proofErr w:type="spellEnd"/>
      <w:r w:rsidRPr="00F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П</w:t>
      </w:r>
      <w:r>
        <w:rPr>
          <w:rFonts w:ascii="Arial" w:hAnsi="Arial" w:cs="Arial"/>
          <w:color w:val="231F20"/>
          <w:sz w:val="28"/>
          <w:szCs w:val="28"/>
        </w:rPr>
        <w:t>ланы в мире финансовых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                                        технологий Поднебесной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  <w:sz w:val="28"/>
          <w:szCs w:val="28"/>
        </w:rPr>
      </w:pP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вырисовываются контуры плана Коммунистической партии для технологической индустрии. Примерно через 10 лет Китай, если коммунистическая партия добьется своего, станет техно-утопией с китайскими «</w:t>
      </w:r>
      <w:proofErr w:type="spellStart"/>
      <w:r>
        <w:rPr>
          <w:rFonts w:ascii="Arial" w:hAnsi="Arial" w:cs="Arial"/>
          <w:color w:val="231F20"/>
        </w:rPr>
        <w:t>deep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tech</w:t>
      </w:r>
      <w:proofErr w:type="spellEnd"/>
      <w:r>
        <w:rPr>
          <w:rFonts w:ascii="Arial" w:hAnsi="Arial" w:cs="Arial"/>
          <w:color w:val="231F20"/>
        </w:rPr>
        <w:t xml:space="preserve">»: облачные вычисления, искусственный интеллект (ИИ), беспилотные автомобили и т.д. Существующие технологические гиганты, такие как </w:t>
      </w:r>
      <w:proofErr w:type="spellStart"/>
      <w:r>
        <w:rPr>
          <w:rFonts w:ascii="Arial" w:hAnsi="Arial" w:cs="Arial"/>
          <w:color w:val="231F20"/>
        </w:rPr>
        <w:lastRenderedPageBreak/>
        <w:t>Alibaba</w:t>
      </w:r>
      <w:proofErr w:type="spellEnd"/>
      <w:r>
        <w:rPr>
          <w:rFonts w:ascii="Arial" w:hAnsi="Arial" w:cs="Arial"/>
          <w:color w:val="231F20"/>
        </w:rPr>
        <w:t xml:space="preserve"> в сфере электронной коммерции или </w:t>
      </w:r>
      <w:proofErr w:type="spellStart"/>
      <w:r>
        <w:rPr>
          <w:rFonts w:ascii="Arial" w:hAnsi="Arial" w:cs="Arial"/>
          <w:color w:val="231F20"/>
        </w:rPr>
        <w:t>Tencent</w:t>
      </w:r>
      <w:proofErr w:type="spellEnd"/>
      <w:r>
        <w:rPr>
          <w:rFonts w:ascii="Arial" w:hAnsi="Arial" w:cs="Arial"/>
          <w:color w:val="231F20"/>
        </w:rPr>
        <w:t xml:space="preserve"> в сфере платежей и развлечений, будут работать и дальше, однако станут менее прибыльны и успешны. Политика ограничения их рыночной власти будет перераспределять часть прибыли между более мелкими торговцами и разработчиками приложений. 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 Регулирующие органы Китая предприняли жесткие меры в отношении бурно развивающейся технологической сцены страны, которая, хотя и привела к появлению мировых инноваций и поразительной стоимости для акционеров, больше не считается подходящей для государственных целей. Власти уже заявили, что в ближайшие 5 лет правила в отношении всех видов технологического бизнеса будут усилены. На фоне этого самые популярные технологические группы страны потеряли не менее $1 трлн в совокупной рыночной капитализации. 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 Китай вступает в новую фазу развития, которая ставит во главу стола национальную безопасность, а не принцип роста любой ценой последних 30 лет. Новая политика Китая в отношении данных все еще находится в стадии разработки. Но есть мнения, что в конечном итоге данные компаний-гигантов, таких как </w:t>
      </w:r>
      <w:proofErr w:type="spellStart"/>
      <w:r>
        <w:rPr>
          <w:rFonts w:ascii="Arial" w:hAnsi="Arial" w:cs="Arial"/>
          <w:color w:val="231F20"/>
        </w:rPr>
        <w:t>Tencent</w:t>
      </w:r>
      <w:proofErr w:type="spellEnd"/>
      <w:r>
        <w:rPr>
          <w:rFonts w:ascii="Arial" w:hAnsi="Arial" w:cs="Arial"/>
          <w:color w:val="231F20"/>
        </w:rPr>
        <w:t xml:space="preserve"> и </w:t>
      </w:r>
      <w:proofErr w:type="spellStart"/>
      <w:r>
        <w:rPr>
          <w:rFonts w:ascii="Arial" w:hAnsi="Arial" w:cs="Arial"/>
          <w:color w:val="231F20"/>
        </w:rPr>
        <w:t>Alibaba</w:t>
      </w:r>
      <w:proofErr w:type="spellEnd"/>
      <w:r>
        <w:rPr>
          <w:rFonts w:ascii="Arial" w:hAnsi="Arial" w:cs="Arial"/>
          <w:color w:val="231F20"/>
        </w:rPr>
        <w:t>, будут проданы на поддерживаемых государством и частных биржах.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Еще одним направлением стратегии государства является перераспределение богатства и власти, накопленных крупными технологическими платформами за последнее десятилетие. Группы электронной коммерции, такие как </w:t>
      </w:r>
      <w:proofErr w:type="spellStart"/>
      <w:r>
        <w:rPr>
          <w:rFonts w:ascii="Arial" w:hAnsi="Arial" w:cs="Arial"/>
          <w:color w:val="231F20"/>
        </w:rPr>
        <w:t>Alibaba</w:t>
      </w:r>
      <w:proofErr w:type="spellEnd"/>
      <w:r>
        <w:rPr>
          <w:rFonts w:ascii="Arial" w:hAnsi="Arial" w:cs="Arial"/>
          <w:color w:val="231F20"/>
        </w:rPr>
        <w:t xml:space="preserve">, jd.com и </w:t>
      </w:r>
      <w:proofErr w:type="spellStart"/>
      <w:r>
        <w:rPr>
          <w:rFonts w:ascii="Arial" w:hAnsi="Arial" w:cs="Arial"/>
          <w:color w:val="231F20"/>
        </w:rPr>
        <w:t>Pinduoduo</w:t>
      </w:r>
      <w:proofErr w:type="spellEnd"/>
      <w:r>
        <w:rPr>
          <w:rFonts w:ascii="Arial" w:hAnsi="Arial" w:cs="Arial"/>
          <w:color w:val="231F20"/>
        </w:rPr>
        <w:t>, стали мишенью Государственной администрации по регулированию рынка (</w:t>
      </w:r>
      <w:proofErr w:type="spellStart"/>
      <w:r>
        <w:rPr>
          <w:rFonts w:ascii="Arial" w:hAnsi="Arial" w:cs="Arial"/>
          <w:color w:val="231F20"/>
        </w:rPr>
        <w:t>samr</w:t>
      </w:r>
      <w:proofErr w:type="spellEnd"/>
      <w:r>
        <w:rPr>
          <w:rFonts w:ascii="Arial" w:hAnsi="Arial" w:cs="Arial"/>
          <w:color w:val="231F20"/>
        </w:rPr>
        <w:t xml:space="preserve">), нового антимонопольного регулятора Китая, который обвиняет их в монополистическом поведении. Бизнес </w:t>
      </w:r>
      <w:r>
        <w:rPr>
          <w:rFonts w:ascii="Arial" w:hAnsi="Arial" w:cs="Arial"/>
          <w:color w:val="231F20"/>
        </w:rPr>
        <w:lastRenderedPageBreak/>
        <w:t xml:space="preserve">на этих платформах действительно часто платит высокие комиссии и должен выбирать между продажами на одной или другой. Платежные системы, которыми управляют </w:t>
      </w:r>
      <w:proofErr w:type="spellStart"/>
      <w:r>
        <w:rPr>
          <w:rFonts w:ascii="Arial" w:hAnsi="Arial" w:cs="Arial"/>
          <w:color w:val="231F20"/>
        </w:rPr>
        <w:t>Tencent</w:t>
      </w:r>
      <w:proofErr w:type="spellEnd"/>
      <w:r>
        <w:rPr>
          <w:rFonts w:ascii="Arial" w:hAnsi="Arial" w:cs="Arial"/>
          <w:color w:val="231F20"/>
        </w:rPr>
        <w:t xml:space="preserve"> и </w:t>
      </w:r>
      <w:proofErr w:type="spellStart"/>
      <w:r>
        <w:rPr>
          <w:rFonts w:ascii="Arial" w:hAnsi="Arial" w:cs="Arial"/>
          <w:color w:val="231F20"/>
        </w:rPr>
        <w:t>Alibaba</w:t>
      </w:r>
      <w:proofErr w:type="spellEnd"/>
      <w:r>
        <w:rPr>
          <w:rFonts w:ascii="Arial" w:hAnsi="Arial" w:cs="Arial"/>
          <w:color w:val="231F20"/>
        </w:rPr>
        <w:t>, предотвратили обмен информацией между друг другом, что привело к раздвоению рынка. 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231F20"/>
        </w:rPr>
      </w:pP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13030"/>
          <w:sz w:val="29"/>
          <w:szCs w:val="29"/>
          <w:shd w:val="clear" w:color="auto" w:fill="FFFFFF"/>
        </w:rPr>
        <w:t xml:space="preserve">Особое место, очевидно, занимает сфера высоких технологий, которая оказывает влияние не только на развитие национальной экономики, но и на весь мировой научно-технический прогресс. Инновации уже стали характерной визитной карточкой страны в международных обменах и сотрудничестве. Сегодня активная работа ведется по целому ряду направлений: транспорт, суперкомпьютеры, квантовая физика, искусственный интеллект и многое другое. Ученые сходятся во мнении, что современный Китай способен вновь, как и много веков назад, создать прорывные продукты, которые принесут пользу всему человечеству.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Поднебесная не останавливается на достигнутом и внедряет больше инноваций как в промышленную сферу, так и обычную жизнь населения, активно реализуя программу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Made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China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2025.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 w:val="0"/>
          <w:bCs w:val="0"/>
          <w:color w:val="333333"/>
          <w:sz w:val="38"/>
          <w:szCs w:val="38"/>
          <w:shd w:val="clear" w:color="auto" w:fill="FFFFFF"/>
        </w:rPr>
        <w:t xml:space="preserve">Топ-10: Высокие технологии для отделки </w:t>
      </w:r>
      <w:proofErr w:type="spellStart"/>
      <w:r>
        <w:rPr>
          <w:rFonts w:ascii="Arial" w:hAnsi="Arial" w:cs="Arial"/>
          <w:b w:val="0"/>
          <w:bCs w:val="0"/>
          <w:color w:val="333333"/>
          <w:sz w:val="38"/>
          <w:szCs w:val="38"/>
          <w:shd w:val="clear" w:color="auto" w:fill="FFFFFF"/>
        </w:rPr>
        <w:t>домов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технологии, такие как искусственный интеллект, виртуальная реальность и 3D-моделирование, используются на рынке домашнего декора, который, как ожидается, достигнет оценки 6 трлн юаней ($923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млрд )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год в Китае, к 2025 году. Компания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Tubatu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объединилась с разработчиками программного обеспечения, чтобы предложить потребителям облачный дизайн и BIM-услуги. Искусственный интеллект используется в принятии решений и оптимизации цепочек поставок, виртуальная реальность – в проектировании и обучении, а информационное моделирование зданий (BIM), инструмент на основе 3D-моделей, используется специалистами в области архитектуры, инженерии и строительства. В китайских городах, особенно в таких мегаполисах, как Шанхай, Пекин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Шэньчжэнь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дома составляют около 70 процентов семейного имущества. Таким образом, люди готовы платить больше за дизайн и отделку помещений, что повышает спрос на новые технологии.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Топ-9: Приложение для облегчения парковки транспортных средств</w:t>
      </w:r>
    </w:p>
    <w:p w:rsidR="00A565A2" w:rsidRDefault="00A565A2" w:rsidP="00A565A2">
      <w:pPr>
        <w:pStyle w:val="2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Власти Шанхая используют больше цифровых технологий, включая 5G, большие данные и искусственный интеллект, чтобы улучшить ситуацию с пробками и дорожным движением в городе. Парковка затруднена из-за дисбаланса между автомобилями и парковочными местами. Чтобы решить эту проблему, управление дорожного движения внедрило шанхайское приложение для парковки, которое до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сих пор охватывает 4700 парковочных мест и предоставляет такие услуги, как совместное использование парковочных мест в торговых центрах в ночное время, назначение парковки в больницах, оплата платы после этого и парковка в транспортных узлах, таких как аэропорты и железнодорожные вокзалы. Приложение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Shanghai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Parking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помогает парковаться ночью в торговых центрах, больницах и транспортных узлах, таких как аэропорты и железнодорожные вокзалы. Водители могут припарковаться в больнице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Синьхуа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записавшись на приём через приложение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Shanghai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Parking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Парковка, также затруднена в больницах, но люди могут использовать приложение, чтобы зарезервировать парковку заранее.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Топ-8: Светорассеивающая крыша солнечной теплицы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Китайские исследователи разработали крышу теплицы нового типа, разделяющую свет, которая может пропускать видимый свет, преобразуя ближний инфракрасный свет в электричество. Видимый свет с длиной волны от 400 нанометров (</w:t>
      </w:r>
      <w:proofErr w:type="spellStart"/>
      <w:r>
        <w:rPr>
          <w:rFonts w:ascii="Arial" w:hAnsi="Arial" w:cs="Arial"/>
          <w:sz w:val="23"/>
          <w:szCs w:val="23"/>
        </w:rPr>
        <w:t>нм</w:t>
      </w:r>
      <w:proofErr w:type="spellEnd"/>
      <w:r>
        <w:rPr>
          <w:rFonts w:ascii="Arial" w:hAnsi="Arial" w:cs="Arial"/>
          <w:sz w:val="23"/>
          <w:szCs w:val="23"/>
        </w:rPr>
        <w:t xml:space="preserve">) до 780 </w:t>
      </w:r>
      <w:proofErr w:type="spellStart"/>
      <w:r>
        <w:rPr>
          <w:rFonts w:ascii="Arial" w:hAnsi="Arial" w:cs="Arial"/>
          <w:sz w:val="23"/>
          <w:szCs w:val="23"/>
        </w:rPr>
        <w:t>нм</w:t>
      </w:r>
      <w:proofErr w:type="spellEnd"/>
      <w:r>
        <w:rPr>
          <w:rFonts w:ascii="Arial" w:hAnsi="Arial" w:cs="Arial"/>
          <w:sz w:val="23"/>
          <w:szCs w:val="23"/>
        </w:rPr>
        <w:t xml:space="preserve"> имеет решающее значение для управления процессом фотосинтеза тепличных растений, но ближний инфракрасный свет с длиной волны от 780 до 2500 </w:t>
      </w:r>
      <w:proofErr w:type="spellStart"/>
      <w:r>
        <w:rPr>
          <w:rFonts w:ascii="Arial" w:hAnsi="Arial" w:cs="Arial"/>
          <w:sz w:val="23"/>
          <w:szCs w:val="23"/>
        </w:rPr>
        <w:t>нм</w:t>
      </w:r>
      <w:proofErr w:type="spellEnd"/>
      <w:r>
        <w:rPr>
          <w:rFonts w:ascii="Arial" w:hAnsi="Arial" w:cs="Arial"/>
          <w:sz w:val="23"/>
          <w:szCs w:val="23"/>
        </w:rPr>
        <w:t xml:space="preserve"> оказывает незначительное влияние на рост растений и может вызвать перегрев внутри теплицы. новая солнечная крыша может пропускать видимый свет с коэффициентом пропускания в течение всего дня 40 процентов и одновременно преобразовывать ближний инфракрасный свет в электричество, обеспечивая нормальный рост тепличных растений с меньшим потреблением энергии охлаждения. Электричество, вырабатываемое крышей, с дневной фотоэлектрической эффективностью 6,88 процента также может обеспечить ежедневную работу теплицы.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Топ-7: Технологии для здоровья во время зимних Олимпийских игр в Пекине 2022 года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Технологии для профилактики и борьбы с </w:t>
      </w:r>
      <w:proofErr w:type="spellStart"/>
      <w:r>
        <w:rPr>
          <w:rFonts w:ascii="Arial" w:hAnsi="Arial" w:cs="Arial"/>
          <w:sz w:val="23"/>
          <w:szCs w:val="23"/>
        </w:rPr>
        <w:t>коронавирусом</w:t>
      </w:r>
      <w:proofErr w:type="spellEnd"/>
      <w:r>
        <w:rPr>
          <w:rFonts w:ascii="Arial" w:hAnsi="Arial" w:cs="Arial"/>
          <w:sz w:val="23"/>
          <w:szCs w:val="23"/>
        </w:rPr>
        <w:t xml:space="preserve"> в области здравоохранения являются одним из главных приоритетов зимней Олимпиады, поэтому передовые технологии, направленные на сокращение личных контактов и повышение эффективности тестирования COVID-19, становятся одним из главных приоритетов для организаторов.  «Пластырь для подмышек», размером похожий на сим карту мобильного телефона, помогает измерять температуру тела. Сотрудники могут просто приложить умный термометр к своей коже, и данные о температуре будут отображаться в приложении на их мобильных телефонах. Также впервые будет использоваться тестирование пятен засохшей крови (DBS) – новый метод сбора биологических образцов. Он собирает образцы цельной крови для хранения и последующего анализа. Благодаря преимуществу использования только небольших объёмов крови, удобству, надёжности и большей стабильности образцов, тестирование DBS станет мощным оружием в борьбе с допингом. В области управления замкнутым циклом для лечения пациентов будет использоваться усовершенствованная система дистанционной ультразвуковой диагностики роботов, позволяющая проводить бесконтактную диагностику «врач-пациент».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Топ-6: Автономные транспортные средства во время пандемии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В Китае до сих пор наблюдаются вспышки COVID-19. Компания </w:t>
      </w:r>
      <w:proofErr w:type="spellStart"/>
      <w:r>
        <w:rPr>
          <w:rFonts w:ascii="Arial" w:hAnsi="Arial" w:cs="Arial"/>
          <w:sz w:val="23"/>
          <w:szCs w:val="23"/>
        </w:rPr>
        <w:t>WeRide</w:t>
      </w:r>
      <w:proofErr w:type="spellEnd"/>
      <w:r>
        <w:rPr>
          <w:rFonts w:ascii="Arial" w:hAnsi="Arial" w:cs="Arial"/>
          <w:sz w:val="23"/>
          <w:szCs w:val="23"/>
        </w:rPr>
        <w:t xml:space="preserve"> поставила транспортные средства, оснащенные своей технологией автономного вождения, чтобы помочь доставить предметы первой необходимости в заблокированные ливанские общины, перевозя предметы из контрольно-пропускных пунктов, установленных на окраинах районов, в жилые комплексы. Затем местные волонтеры раздают эти вещи домашним хозяйствам. Из-за дорожных условий автономные транспортные средства могут работать без человека (резервного водителя) для обеспечения безопасности. Беспилотная технология компании классифицируется как Уровень 4, который американская группа инженерных стандартов SAE </w:t>
      </w:r>
      <w:proofErr w:type="spellStart"/>
      <w:r>
        <w:rPr>
          <w:rFonts w:ascii="Arial" w:hAnsi="Arial" w:cs="Arial"/>
          <w:sz w:val="23"/>
          <w:szCs w:val="23"/>
        </w:rPr>
        <w:t>International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определяет</w:t>
      </w:r>
      <w:proofErr w:type="gramEnd"/>
      <w:r>
        <w:rPr>
          <w:rFonts w:ascii="Arial" w:hAnsi="Arial" w:cs="Arial"/>
          <w:sz w:val="23"/>
          <w:szCs w:val="23"/>
        </w:rPr>
        <w:t xml:space="preserve"> как способность управлять транспортным средством в ограниченных условиях.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Топ-5: Переработка отходов тканей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Китай является одним из крупнейших экспортеров в текстильной и швейной продукции в мире с участием более 20 тысяч компаний. Технология, разработанная Шанхайским университетом </w:t>
      </w:r>
      <w:proofErr w:type="spellStart"/>
      <w:r>
        <w:rPr>
          <w:rFonts w:ascii="Arial" w:hAnsi="Arial" w:cs="Arial"/>
          <w:sz w:val="23"/>
          <w:szCs w:val="23"/>
        </w:rPr>
        <w:t>Донхуа</w:t>
      </w:r>
      <w:proofErr w:type="spellEnd"/>
      <w:r>
        <w:rPr>
          <w:rFonts w:ascii="Arial" w:hAnsi="Arial" w:cs="Arial"/>
          <w:sz w:val="23"/>
          <w:szCs w:val="23"/>
        </w:rPr>
        <w:t xml:space="preserve">, оказалась эффективным способом переработки отходов тканей. Поместив отработанную хлопчатобумажную ткань в прозрачный растворитель, всего за несколько часов перемешивания она растворяется во что-то похожее на чашку воды. Затем этот раствор может быть восстановлен в целлюлозу, которую можно превратить в </w:t>
      </w:r>
      <w:proofErr w:type="spellStart"/>
      <w:r>
        <w:rPr>
          <w:rFonts w:ascii="Arial" w:hAnsi="Arial" w:cs="Arial"/>
          <w:sz w:val="23"/>
          <w:szCs w:val="23"/>
        </w:rPr>
        <w:t>биопродукты</w:t>
      </w:r>
      <w:proofErr w:type="spellEnd"/>
      <w:r>
        <w:rPr>
          <w:rFonts w:ascii="Arial" w:hAnsi="Arial" w:cs="Arial"/>
          <w:sz w:val="23"/>
          <w:szCs w:val="23"/>
        </w:rPr>
        <w:t xml:space="preserve">, такие как медицинские повязки или защитная одежда. Задача состоит в том, чтобы сделать бизнес </w:t>
      </w:r>
      <w:proofErr w:type="spellStart"/>
      <w:r>
        <w:rPr>
          <w:rFonts w:ascii="Arial" w:hAnsi="Arial" w:cs="Arial"/>
          <w:sz w:val="23"/>
          <w:szCs w:val="23"/>
        </w:rPr>
        <w:t>экологичным</w:t>
      </w:r>
      <w:proofErr w:type="spellEnd"/>
      <w:r>
        <w:rPr>
          <w:rFonts w:ascii="Arial" w:hAnsi="Arial" w:cs="Arial"/>
          <w:sz w:val="23"/>
          <w:szCs w:val="23"/>
        </w:rPr>
        <w:t xml:space="preserve"> и устойчивым. Однако это также открывает новые возможности для этого сектора. Это привлекает многих специалистов по охране окружающей среды.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Топ-4: Передовой метод обработки ядерных активов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Обработка ядерных отходов – это заключительный этап безопасного использования ядерной энергии, из которых наиболее сложной и технически совершенной является обработка высокоактивной радиоактивной жидкости. Первое в Китае оборудование для захоронения радиоактивных жидких отходов высокого уровня, способное плавить отходы в стекло, было официально введено в эксплуатацию в </w:t>
      </w:r>
      <w:proofErr w:type="spellStart"/>
      <w:r>
        <w:rPr>
          <w:rFonts w:ascii="Arial" w:hAnsi="Arial" w:cs="Arial"/>
          <w:sz w:val="23"/>
          <w:szCs w:val="23"/>
        </w:rPr>
        <w:t>Гуанъюане</w:t>
      </w:r>
      <w:proofErr w:type="spellEnd"/>
      <w:r>
        <w:rPr>
          <w:rFonts w:ascii="Arial" w:hAnsi="Arial" w:cs="Arial"/>
          <w:sz w:val="23"/>
          <w:szCs w:val="23"/>
        </w:rPr>
        <w:t>, провинция Сычуань на юго-западе Китая. Трудности и основные возможности такого механизма захоронения отходов заключаются в формуле консолидации с высокой инклюзивной скоростью и стабильностью, позволяющей обеспечить безопасное удержание радиоактивных материалов внутри в течение более 1000 лет. Ожидается, что годовой объём захоронения отходов достигнет нескольких сотен кубометров, а стекло, произведённое из отходов, будет захоронено в хранилище на сотни метров под землей, обеспечивая полную изоляцию радиоактивных материалов от биосферы и закладывая прочный фундамент для безопасного использования ядерной энергии в будущем. Такой подход к обращению с отходами на сегодняшний день является самым передовым методом в мире. Ранее эту технику освоили только США, Франция, Германия и некоторые другие.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Топ-3: Деревни </w:t>
      </w:r>
      <w:proofErr w:type="spellStart"/>
      <w:r>
        <w:rPr>
          <w:rFonts w:ascii="Arial" w:hAnsi="Arial" w:cs="Arial"/>
          <w:color w:val="333333"/>
          <w:sz w:val="38"/>
          <w:szCs w:val="38"/>
        </w:rPr>
        <w:t>Taobao</w:t>
      </w:r>
      <w:proofErr w:type="spellEnd"/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Быстрое расширение трансграничной электронной торговли открыло возможности для участия малых и средних предприятий в мировой торговле. Кроме того, сами площадки электронной торговли могут стать инструментом преодоления диспропорций развития </w:t>
      </w:r>
      <w:r>
        <w:rPr>
          <w:rFonts w:ascii="Arial" w:hAnsi="Arial" w:cs="Arial"/>
          <w:sz w:val="23"/>
          <w:szCs w:val="23"/>
        </w:rPr>
        <w:lastRenderedPageBreak/>
        <w:t xml:space="preserve">сельских и городских районов Китая. Одним из таких инструментов могут стать деревни </w:t>
      </w:r>
      <w:proofErr w:type="spellStart"/>
      <w:r>
        <w:rPr>
          <w:rFonts w:ascii="Arial" w:hAnsi="Arial" w:cs="Arial"/>
          <w:sz w:val="23"/>
          <w:szCs w:val="23"/>
        </w:rPr>
        <w:t>Taobao</w:t>
      </w:r>
      <w:proofErr w:type="spellEnd"/>
      <w:r>
        <w:rPr>
          <w:rFonts w:ascii="Arial" w:hAnsi="Arial" w:cs="Arial"/>
          <w:sz w:val="23"/>
          <w:szCs w:val="23"/>
        </w:rPr>
        <w:t xml:space="preserve">. Деревни </w:t>
      </w:r>
      <w:proofErr w:type="spellStart"/>
      <w:r>
        <w:rPr>
          <w:rFonts w:ascii="Arial" w:hAnsi="Arial" w:cs="Arial"/>
          <w:sz w:val="23"/>
          <w:szCs w:val="23"/>
        </w:rPr>
        <w:t>Taobao</w:t>
      </w:r>
      <w:proofErr w:type="spellEnd"/>
      <w:r>
        <w:rPr>
          <w:rFonts w:ascii="Arial" w:hAnsi="Arial" w:cs="Arial"/>
          <w:sz w:val="23"/>
          <w:szCs w:val="23"/>
        </w:rPr>
        <w:t xml:space="preserve"> – это уникальный вид электронной коммерции в сельских районах Китая. Это районы, где электронная коммерция наиболее развита или сконцентрирована в сельской местности, в частности, в деревнях, где не менее 10% домохозяйств активно участвуют в электронной торговле с ежегодными онлайн-продажами не менее 10 млн.  юаней. Интересной особенностью данных деревень является кластеризация. Новые деревни имеют тенденцию появляться рядом с существующими деревнями </w:t>
      </w:r>
      <w:proofErr w:type="spellStart"/>
      <w:r>
        <w:rPr>
          <w:rFonts w:ascii="Arial" w:hAnsi="Arial" w:cs="Arial"/>
          <w:sz w:val="23"/>
          <w:szCs w:val="23"/>
        </w:rPr>
        <w:t>Taobao</w:t>
      </w:r>
      <w:proofErr w:type="spellEnd"/>
      <w:r>
        <w:rPr>
          <w:rFonts w:ascii="Arial" w:hAnsi="Arial" w:cs="Arial"/>
          <w:sz w:val="23"/>
          <w:szCs w:val="23"/>
        </w:rPr>
        <w:t>. Кластеризация в основном происходит там, где есть хорошо развитая промышленная база, а также есть необходимая инфраструктура для электронной коммерции. Данную инфраструктуру часто предоставляет правительство, которое очень заинтересовано в возвращении молодых специалистов в сельские районы, так некоторые местные органы власти создают специальные инкубационные парки электронной коммерции.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Топ-2: 5G + промышленный Интернет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Китае стремительно развивается инициатива "5G + промышленный интернет": уже создано более сотни крупных промышленных интернет-платформ, более 1800 промышленных интернет-проектов 5G+, охватывающих 10 ключевых отраслей, в том числе горнодобывающую промышленность, угольную промышленность и электроэнергетику. Активизация усилий по ускорению развития промышленного интернета значительно повысит эффективность производства. К этому власти КНР стремятся, чтобы как можно скорее достичь своих климатических целей – за 14-ю пятилетку сократить потребление энергии на единицу ВВП и объем выбросов углекислого газа на единицу ВВП на 13,5 и 18%, соответственно. В долгосрочной же перспективе это повысит конкурентоспособность промышленности Китая на мировой арене.</w:t>
      </w:r>
    </w:p>
    <w:p w:rsidR="00A565A2" w:rsidRDefault="00A565A2" w:rsidP="00A565A2">
      <w:pPr>
        <w:pStyle w:val="3"/>
        <w:shd w:val="clear" w:color="auto" w:fill="FFFFFF"/>
        <w:spacing w:before="495" w:beforeAutospacing="0" w:after="375" w:afterAutospacing="0" w:line="324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Топ-1: Цифровой юань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Китай успешно презентовал национальную цифровую валюту на Олимпийских играх. </w:t>
      </w:r>
      <w:r>
        <w:rPr>
          <w:rFonts w:ascii="Arial" w:hAnsi="Arial" w:cs="Arial"/>
          <w:sz w:val="23"/>
          <w:szCs w:val="23"/>
        </w:rPr>
        <w:t xml:space="preserve">Цифровой юань, или e-CNY, – это электронный прототип обычного юаня, сам по себе не являющийся активом, в отличие от </w:t>
      </w:r>
      <w:proofErr w:type="spellStart"/>
      <w:r>
        <w:rPr>
          <w:rFonts w:ascii="Arial" w:hAnsi="Arial" w:cs="Arial"/>
          <w:sz w:val="23"/>
          <w:szCs w:val="23"/>
        </w:rPr>
        <w:t>криптовалют</w:t>
      </w:r>
      <w:proofErr w:type="spellEnd"/>
      <w:r>
        <w:rPr>
          <w:rFonts w:ascii="Arial" w:hAnsi="Arial" w:cs="Arial"/>
          <w:sz w:val="23"/>
          <w:szCs w:val="23"/>
        </w:rPr>
        <w:t xml:space="preserve">. Эмиссией электронного юаня занимается Банк Китая, при этом нескольким авторизованным коммерческим банкам позволено открывать электронные кошельки пользователям. Цифровой юань также позволит властям эффективнее бороться с мошенничеством и отмыванием денег, так как в e-CNY используются </w:t>
      </w:r>
      <w:proofErr w:type="spellStart"/>
      <w:r>
        <w:rPr>
          <w:rFonts w:ascii="Arial" w:hAnsi="Arial" w:cs="Arial"/>
          <w:sz w:val="23"/>
          <w:szCs w:val="23"/>
        </w:rPr>
        <w:t>блокчейн</w:t>
      </w:r>
      <w:proofErr w:type="spellEnd"/>
      <w:r>
        <w:rPr>
          <w:rFonts w:ascii="Arial" w:hAnsi="Arial" w:cs="Arial"/>
          <w:sz w:val="23"/>
          <w:szCs w:val="23"/>
        </w:rPr>
        <w:t>-технологии, позволяющие фиксировать каждую транзакцию. Введение в оборот e-CNY в дальнейшем также даст пользователям доступ к системе трансграничных платежей, что, в свою очередь, повысит роль юаня в качестве международной валюты. </w:t>
      </w:r>
    </w:p>
    <w:p w:rsidR="00A565A2" w:rsidRDefault="00A565A2" w:rsidP="00A565A2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Китай – это вторая по размеру экономика мира, где активно внедряются технологии, где венчурные инвесторы ищут интересные проекты, и где находятся многие ключевые фабрики мира. </w:t>
      </w:r>
      <w:r w:rsidRPr="000D5F89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aspp.ru/</w:t>
      </w:r>
      <w:proofErr w:type="spellStart"/>
      <w:r w:rsidRPr="000D5F89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busin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ess_news</w:t>
      </w:r>
      <w:proofErr w:type="spellEnd"/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/</w:t>
      </w:r>
      <w:proofErr w:type="spellStart"/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top-chinese-technology</w:t>
      </w:r>
      <w:proofErr w:type="spellEnd"/>
    </w:p>
    <w:p w:rsidR="00A565A2" w:rsidRPr="000D5F89" w:rsidRDefault="00A565A2" w:rsidP="00A5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89">
        <w:rPr>
          <w:rFonts w:ascii="Arial" w:eastAsia="Times New Roman" w:hAnsi="Arial" w:cs="Arial"/>
          <w:color w:val="003073"/>
          <w:sz w:val="18"/>
          <w:szCs w:val="18"/>
          <w:shd w:val="clear" w:color="auto" w:fill="FFFFFF"/>
          <w:lang w:eastAsia="ru-RU"/>
        </w:rPr>
        <w:t>За первые 8 месяцев текущего года объем экспорта продукции высоких технологий из Китая стал рекордным в истории, увеличившись на 43,2 процента по сравнению с аналогичным периодом прошлого года.</w:t>
      </w:r>
    </w:p>
    <w:p w:rsidR="00A565A2" w:rsidRPr="000D5F89" w:rsidRDefault="00A565A2" w:rsidP="00A565A2">
      <w:pPr>
        <w:shd w:val="clear" w:color="auto" w:fill="FFFFFF"/>
        <w:spacing w:before="90" w:after="100" w:afterAutospacing="1" w:line="240" w:lineRule="auto"/>
        <w:ind w:left="45" w:right="45"/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Динамичное развитие индустрии высоких технологий служит сильным стимулом к росту китайской экономики.</w:t>
      </w:r>
    </w:p>
    <w:p w:rsidR="00A565A2" w:rsidRPr="000D5F89" w:rsidRDefault="00A565A2" w:rsidP="00A565A2">
      <w:pPr>
        <w:shd w:val="clear" w:color="auto" w:fill="FFFFFF"/>
        <w:spacing w:before="90" w:after="100" w:afterAutospacing="1" w:line="240" w:lineRule="auto"/>
        <w:ind w:left="45" w:right="45"/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lastRenderedPageBreak/>
        <w:t>По статистике, за период с 1996 по 2001 гг. среднегодовой прирост указанной продукции составил 20 процентов. Удельный вес экспорта подобной продукции в общем экспорте готовой промышленной продукции вырос с 9,8 до 17,5 процента.</w:t>
      </w:r>
    </w:p>
    <w:p w:rsidR="00A565A2" w:rsidRPr="000D5F89" w:rsidRDefault="00A565A2" w:rsidP="00A565A2">
      <w:pPr>
        <w:shd w:val="clear" w:color="auto" w:fill="FFFFFF"/>
        <w:spacing w:before="90" w:after="100" w:afterAutospacing="1" w:line="240" w:lineRule="auto"/>
        <w:ind w:left="45" w:right="45"/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Ныне в Китае в основном уже сформировались несколько поясов для развития высоких технологий, включая дельты рек Янцзы и </w:t>
      </w:r>
      <w:proofErr w:type="spellStart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Чжуцзян</w:t>
      </w:r>
      <w:proofErr w:type="spellEnd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, города </w:t>
      </w:r>
      <w:proofErr w:type="spellStart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Сиань</w:t>
      </w:r>
      <w:proofErr w:type="spellEnd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, </w:t>
      </w:r>
      <w:proofErr w:type="spellStart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Чунцин</w:t>
      </w:r>
      <w:proofErr w:type="spellEnd"/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и др. Высокие технологии получают все более широкое применение в сельскохозяйственной, промышленной, финансовой и торгово-экономической отраслях.</w:t>
      </w:r>
    </w:p>
    <w:p w:rsidR="00A565A2" w:rsidRDefault="00A565A2" w:rsidP="00A565A2">
      <w:pPr>
        <w:shd w:val="clear" w:color="auto" w:fill="FFFFFF"/>
        <w:spacing w:before="90" w:after="100" w:afterAutospacing="1" w:line="240" w:lineRule="auto"/>
        <w:ind w:left="45" w:right="45"/>
        <w:rPr>
          <w:rFonts w:ascii="Arial" w:eastAsia="Times New Roman" w:hAnsi="Arial" w:cs="Arial"/>
          <w:color w:val="003073"/>
          <w:sz w:val="18"/>
          <w:szCs w:val="18"/>
          <w:lang w:eastAsia="ru-RU"/>
        </w:rPr>
      </w:pPr>
      <w:r w:rsidRPr="000D5F89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Стремительное развитие индустрии высоких технологий содействует оптимизации производственной структуры Китая.</w:t>
      </w:r>
    </w:p>
    <w:p w:rsidR="00A565A2" w:rsidRPr="00CE54AA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54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2019 году общее количество заявок на патенты достигло рекордного максимума (265 800), причём 52% поступили из Азии, 23% — из Европы и Северной Америки. На долю компаний из Китая, Японии и Южной Кореи приходится 60% из тех самых золотых «топ-50 ведущих мировых компаний», что говорит о том, что в технологической гонке высоких технологий Азия вырывается вперёд.</w:t>
      </w:r>
    </w:p>
    <w:p w:rsidR="00A565A2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54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Такой технологический рывок Китая объясняется также щедрыми субсидиями китайским производителям</w:t>
      </w:r>
    </w:p>
    <w:p w:rsidR="00A565A2" w:rsidRPr="00CE54AA" w:rsidRDefault="00A565A2" w:rsidP="00A565A2">
      <w:pPr>
        <w:pStyle w:val="a3"/>
        <w:shd w:val="clear" w:color="auto" w:fill="FFFFFF"/>
        <w:spacing w:before="0" w:beforeAutospacing="0" w:after="267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Стремительный рост Китая, который стал лидером международных патентных заявок, показывает долгосрочный сдвиг в направлении инноваций на Восток», — говорит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Фрэнсис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Гарри, гендиректор ВОИС. </w:t>
      </w:r>
      <w:r w:rsidRPr="00CE54AA">
        <w:rPr>
          <w:rFonts w:ascii="Arial" w:hAnsi="Arial" w:cs="Arial"/>
          <w:color w:val="000000"/>
          <w:sz w:val="27"/>
          <w:szCs w:val="27"/>
        </w:rPr>
        <w:t>За Китаем идут США, которые были несменяемым лидером с 1978 года.</w:t>
      </w:r>
    </w:p>
    <w:p w:rsidR="00A565A2" w:rsidRPr="00CE54AA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54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третьем месте — Япония.</w:t>
      </w:r>
    </w:p>
    <w:p w:rsidR="00A565A2" w:rsidRDefault="00A565A2" w:rsidP="00A565A2">
      <w:pPr>
        <w:pStyle w:val="a3"/>
        <w:shd w:val="clear" w:color="auto" w:fill="FFFFFF"/>
        <w:spacing w:before="0" w:beforeAutospacing="0" w:after="267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E54AA">
        <w:rPr>
          <w:rFonts w:ascii="Arial" w:hAnsi="Arial" w:cs="Arial"/>
          <w:color w:val="000000"/>
          <w:sz w:val="27"/>
          <w:szCs w:val="27"/>
        </w:rPr>
        <w:t>Huawei</w:t>
      </w:r>
      <w:proofErr w:type="spellEnd"/>
      <w:r w:rsidRPr="00CE54AA">
        <w:rPr>
          <w:rFonts w:ascii="Arial" w:hAnsi="Arial" w:cs="Arial"/>
          <w:color w:val="000000"/>
          <w:sz w:val="27"/>
          <w:szCs w:val="27"/>
        </w:rPr>
        <w:t xml:space="preserve"> опередила японскую </w:t>
      </w:r>
      <w:proofErr w:type="spellStart"/>
      <w:r w:rsidRPr="00CE54AA">
        <w:rPr>
          <w:rFonts w:ascii="Arial" w:hAnsi="Arial" w:cs="Arial"/>
          <w:color w:val="000000"/>
          <w:sz w:val="27"/>
          <w:szCs w:val="27"/>
        </w:rPr>
        <w:t>Mitsubishi</w:t>
      </w:r>
      <w:proofErr w:type="spellEnd"/>
      <w:r w:rsidRPr="00CE54AA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CE54AA">
        <w:rPr>
          <w:rFonts w:ascii="Arial" w:hAnsi="Arial" w:cs="Arial"/>
          <w:color w:val="000000"/>
          <w:sz w:val="27"/>
          <w:szCs w:val="27"/>
        </w:rPr>
        <w:t>Electric</w:t>
      </w:r>
      <w:proofErr w:type="spellEnd"/>
      <w:r w:rsidRPr="00CE54AA">
        <w:rPr>
          <w:rFonts w:ascii="Arial" w:hAnsi="Arial" w:cs="Arial"/>
          <w:color w:val="000000"/>
          <w:sz w:val="27"/>
          <w:szCs w:val="27"/>
        </w:rPr>
        <w:t xml:space="preserve">, создав аппликаций на две трети больше. А китайский производитель смартфонов </w:t>
      </w:r>
      <w:proofErr w:type="spellStart"/>
      <w:r w:rsidRPr="00CE54AA">
        <w:rPr>
          <w:rFonts w:ascii="Arial" w:hAnsi="Arial" w:cs="Arial"/>
          <w:color w:val="000000"/>
          <w:sz w:val="27"/>
          <w:szCs w:val="27"/>
        </w:rPr>
        <w:t>Oppo</w:t>
      </w:r>
      <w:proofErr w:type="spellEnd"/>
      <w:r w:rsidRPr="00CE54AA">
        <w:rPr>
          <w:rFonts w:ascii="Arial" w:hAnsi="Arial" w:cs="Arial"/>
          <w:color w:val="000000"/>
          <w:sz w:val="27"/>
          <w:szCs w:val="27"/>
        </w:rPr>
        <w:t>, например, совершил рывок с 17-го на пятое место, создав высокопроизводительный смартфон по низкой цене.</w:t>
      </w:r>
    </w:p>
    <w:p w:rsidR="00A565A2" w:rsidRPr="006D08F2" w:rsidRDefault="00A565A2" w:rsidP="00A565A2">
      <w:pPr>
        <w:pStyle w:val="a3"/>
        <w:shd w:val="clear" w:color="auto" w:fill="FFFFFF"/>
        <w:spacing w:before="0" w:beforeAutospacing="0" w:after="267" w:afterAutospacing="0"/>
        <w:rPr>
          <w:rFonts w:ascii="Arial" w:hAnsi="Arial" w:cs="Arial"/>
          <w:color w:val="000000"/>
          <w:sz w:val="27"/>
          <w:szCs w:val="27"/>
        </w:rPr>
      </w:pPr>
      <w:r w:rsidRPr="006D08F2">
        <w:rPr>
          <w:rFonts w:ascii="Arial" w:hAnsi="Arial" w:cs="Arial"/>
          <w:color w:val="000000"/>
          <w:sz w:val="27"/>
          <w:szCs w:val="27"/>
        </w:rPr>
        <w:t xml:space="preserve"> Вследствие войны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Вашигтона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 с её 5G продажи смартфонов упали, но она не унывает, «перегруппировавшись» и сделав ставку на беспилотный автомобиль, управляемый телефоном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Huawei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. И здесь она опять входит в прямую конкуренцию с американцами, поставив себе цель стать ведущим поставщиком платформ для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self-driving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 (автономных платформ для вождения с интегрированной электрической системой), которая служит «мозгом» для самостоятельного движения автомобиля. Конкуренты на этом рынке серьёзные —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Tesla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Apple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Waymo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 w:rsidRPr="006D08F2">
        <w:rPr>
          <w:rFonts w:ascii="Arial" w:hAnsi="Arial" w:cs="Arial"/>
          <w:color w:val="000000"/>
          <w:sz w:val="27"/>
          <w:szCs w:val="27"/>
        </w:rPr>
        <w:t>Uber</w:t>
      </w:r>
      <w:proofErr w:type="spellEnd"/>
      <w:r w:rsidRPr="006D08F2">
        <w:rPr>
          <w:rFonts w:ascii="Arial" w:hAnsi="Arial" w:cs="Arial"/>
          <w:color w:val="000000"/>
          <w:sz w:val="27"/>
          <w:szCs w:val="27"/>
        </w:rPr>
        <w:t xml:space="preserve"> и др.</w:t>
      </w:r>
    </w:p>
    <w:p w:rsidR="00A565A2" w:rsidRPr="006D08F2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Прошлым летом компания создала собственный вычислительный чип для искусственного интеллекта Ascend910, который будет «обучать» алгоритмам вождения и облегчать разработку автомобилей будущего.</w:t>
      </w:r>
    </w:p>
    <w:p w:rsidR="00A565A2" w:rsidRPr="006D08F2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Примечательно, что формирование нового подразделения, занимающегося разработкой интеллектуальных автомобильных решений, глава компании сделал через несколько дней после того, как Вашингтон включил её в чёрный список в мае 2019-го. Вызов в ответ на </w:t>
      </w:r>
      <w:proofErr w:type="spellStart"/>
      <w:proofErr w:type="gram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вызов.«</w:t>
      </w:r>
      <w:proofErr w:type="gram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Автономное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вождение — и </w:t>
      </w: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вправду новое поле битвы следующего поколения, — считает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Чиу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Ши-Фан, технический аналитик Тайваньского института экономических исследований. — Рынок смартфонов — крупнейший драйвер прошлого десятилетия — значительно замедлился. Пока в технологиях автономного вождения ведущую роль играют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Google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Intel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Nvidia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но у Китая есть преимущество в коммуникационных микросхемах и технологиях искусственного интеллекта — ключах к автономному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вождению</w:t>
      </w:r>
      <w:proofErr w:type="gram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».Китайский</w:t>
      </w:r>
      <w:proofErr w:type="spellEnd"/>
      <w:proofErr w:type="gram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гигант электронной коммерции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Alibaba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Group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512 заявками возглавил рейтинг корпоративных заявителей, за ним последовала британская компания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nChain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468 и IBM с 248 (по данным японской консалтинговой компании NGB на основе данных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Innography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A565A2" w:rsidRPr="006D08F2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Блокчейн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(возможно, самое значимое изобретение со времён интернета, позволяет хранить данные в защищённом от несанкционированного доступа формате) впервые появился в качестве строительного материала для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криптовалют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биткоина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565A2" w:rsidRPr="006D08F2" w:rsidRDefault="00A565A2" w:rsidP="00A565A2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буму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блокчейна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присоединились и национальные правительства. Народный банк Китая, например, и Центральный банк Швеции готовят свои собственные цифровые валюты (случайно или нет Швеция не участвовала в антикитайской «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коронавирусной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истерии» — оставляю на ваше усмотр</w:t>
      </w:r>
      <w:bookmarkStart w:id="0" w:name="_GoBack"/>
      <w:bookmarkEnd w:id="0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ение</w:t>
      </w:r>
      <w:proofErr w:type="gram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).Китайская</w:t>
      </w:r>
      <w:proofErr w:type="gram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индустрия микросхем и ставка на техническую самодостаточность — одна из важнейших «скреп» новой китайской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экономики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.Председатель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КНР Си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Цзиньпин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его правительство сделало производство чипов ключевым промышленным приоритетом КНР. Такая напряжённая работа и скорость имеют стратегическое значение для Китая, чтобы выжить и победить в технологической войне и избавиться от зависимости в комплектующих не только от США, но и от южнокорейских и тайваньских компаний, лидирующих на рынке.</w:t>
      </w:r>
    </w:p>
    <w:p w:rsidR="002455D5" w:rsidRDefault="00A565A2" w:rsidP="00A565A2"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«Зависимость Китая от США и иностранных технологий — это не только вопрос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нацбезопасности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 — считает Алекс Капри, старший научный сотрудник Школы бизнеса Национального университета Сингапура. — Эта зависимость создаёт серьёзное препятствие для геополитических амбиций Коммунистической партии Китая как растущей державы, поскольку вся жёсткая и мягкая сила будет зависеть от технологического производства. И речь идёт не только о доле рынка. Это </w:t>
      </w:r>
      <w:proofErr w:type="spellStart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технонационализм</w:t>
      </w:r>
      <w:proofErr w:type="spellEnd"/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действии».</w:t>
      </w:r>
      <w:r w:rsidRPr="006D08F2">
        <w:t xml:space="preserve"> </w:t>
      </w:r>
      <w:r w:rsidRPr="006D08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https://russian.rt.com/opinion/740143-yuzik-kitai-tehnologii-ryvok-zapad</w:t>
      </w:r>
    </w:p>
    <w:sectPr w:rsidR="002455D5" w:rsidSect="002620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5"/>
    <w:rsid w:val="002455D5"/>
    <w:rsid w:val="002620A1"/>
    <w:rsid w:val="00A233D5"/>
    <w:rsid w:val="00A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0FBDB-C106-479E-9AE7-7F51D8D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A2"/>
  </w:style>
  <w:style w:type="paragraph" w:styleId="2">
    <w:name w:val="heading 2"/>
    <w:basedOn w:val="a"/>
    <w:link w:val="20"/>
    <w:uiPriority w:val="9"/>
    <w:qFormat/>
    <w:rsid w:val="00A56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4691</Words>
  <Characters>26744</Characters>
  <Application>Microsoft Office Word</Application>
  <DocSecurity>0</DocSecurity>
  <Lines>222</Lines>
  <Paragraphs>62</Paragraphs>
  <ScaleCrop>false</ScaleCrop>
  <Company/>
  <LinksUpToDate>false</LinksUpToDate>
  <CharactersWithSpaces>31373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2022-10-05T13:55:00Z</dcterms:created>
  <dcterms:modified xsi:type="dcterms:W3CDTF">2022-10-05T13:56:00Z</dcterms:modified>
</cp:coreProperties>
</file>